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94" w:rsidRPr="00F03493" w:rsidRDefault="00453794" w:rsidP="00453794">
      <w:pPr>
        <w:pStyle w:val="Style1"/>
        <w:widowControl/>
        <w:spacing w:line="240" w:lineRule="auto"/>
        <w:ind w:firstLine="708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 xml:space="preserve">АДМИНИСТРАЦИЯ МИХАЙЛОВСКОГО РАЙОНА </w:t>
      </w:r>
    </w:p>
    <w:p w:rsidR="00453794" w:rsidRPr="00F03493" w:rsidRDefault="00453794" w:rsidP="00453794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F03493">
        <w:rPr>
          <w:rStyle w:val="FontStyle11"/>
          <w:b/>
          <w:sz w:val="28"/>
          <w:szCs w:val="28"/>
        </w:rPr>
        <w:t>АЛТАЙСКОГО КРАЯ</w:t>
      </w:r>
    </w:p>
    <w:p w:rsidR="00453794" w:rsidRDefault="00453794" w:rsidP="00453794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453794" w:rsidRDefault="00453794" w:rsidP="00453794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453794" w:rsidRPr="00BF173F" w:rsidRDefault="00453794" w:rsidP="00453794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BF173F">
        <w:rPr>
          <w:rStyle w:val="FontStyle12"/>
          <w:sz w:val="28"/>
          <w:szCs w:val="28"/>
        </w:rPr>
        <w:t>ПОСТАНОВЛЕНИЕ</w:t>
      </w:r>
    </w:p>
    <w:p w:rsidR="00453794" w:rsidRDefault="00453794" w:rsidP="0045379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D9403F" w:rsidRDefault="007C5D88" w:rsidP="00D9403F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30.10.2024</w:t>
      </w:r>
      <w:r w:rsidR="00D9403F">
        <w:rPr>
          <w:rStyle w:val="FontStyle12"/>
          <w:sz w:val="28"/>
          <w:szCs w:val="28"/>
        </w:rPr>
        <w:t xml:space="preserve">                               </w:t>
      </w:r>
      <w:r w:rsidR="00D9403F">
        <w:rPr>
          <w:rStyle w:val="FontStyle12"/>
          <w:sz w:val="28"/>
          <w:szCs w:val="28"/>
        </w:rPr>
        <w:tab/>
      </w:r>
      <w:r w:rsidR="00D9403F">
        <w:rPr>
          <w:rStyle w:val="FontStyle12"/>
          <w:sz w:val="28"/>
          <w:szCs w:val="28"/>
        </w:rPr>
        <w:tab/>
      </w:r>
      <w:r w:rsidR="00D9403F">
        <w:rPr>
          <w:rStyle w:val="FontStyle12"/>
          <w:sz w:val="28"/>
          <w:szCs w:val="28"/>
        </w:rPr>
        <w:tab/>
        <w:t xml:space="preserve">     </w:t>
      </w:r>
      <w:r w:rsidR="00D9403F">
        <w:rPr>
          <w:rStyle w:val="FontStyle12"/>
          <w:sz w:val="28"/>
          <w:szCs w:val="28"/>
        </w:rPr>
        <w:tab/>
      </w:r>
      <w:r w:rsidR="00D9403F">
        <w:rPr>
          <w:rStyle w:val="FontStyle12"/>
          <w:sz w:val="28"/>
          <w:szCs w:val="28"/>
        </w:rPr>
        <w:tab/>
      </w:r>
      <w:proofErr w:type="gramStart"/>
      <w:r w:rsidR="00D9403F">
        <w:rPr>
          <w:rStyle w:val="FontStyle12"/>
          <w:sz w:val="28"/>
          <w:szCs w:val="28"/>
        </w:rPr>
        <w:tab/>
        <w:t xml:space="preserve">  </w:t>
      </w:r>
      <w:r>
        <w:rPr>
          <w:rStyle w:val="FontStyle12"/>
          <w:sz w:val="28"/>
          <w:szCs w:val="28"/>
        </w:rPr>
        <w:t>№</w:t>
      </w:r>
      <w:proofErr w:type="gramEnd"/>
      <w:r>
        <w:rPr>
          <w:rStyle w:val="FontStyle12"/>
          <w:sz w:val="28"/>
          <w:szCs w:val="28"/>
        </w:rPr>
        <w:t>471</w:t>
      </w:r>
    </w:p>
    <w:p w:rsidR="00D9403F" w:rsidRPr="00E07083" w:rsidRDefault="00D9403F" w:rsidP="00D9403F">
      <w:pPr>
        <w:pStyle w:val="Style2"/>
        <w:widowControl/>
        <w:spacing w:line="240" w:lineRule="auto"/>
        <w:jc w:val="center"/>
        <w:rPr>
          <w:rStyle w:val="FontStyle12"/>
        </w:rPr>
      </w:pPr>
      <w:proofErr w:type="spellStart"/>
      <w:r w:rsidRPr="00E07083">
        <w:rPr>
          <w:rStyle w:val="FontStyle12"/>
        </w:rPr>
        <w:t>с.Михайловское</w:t>
      </w:r>
      <w:proofErr w:type="spellEnd"/>
      <w:r>
        <w:rPr>
          <w:rStyle w:val="FontStyle12"/>
        </w:rPr>
        <w:t xml:space="preserve">    </w:t>
      </w:r>
    </w:p>
    <w:p w:rsidR="00D9403F" w:rsidRDefault="00D9403F" w:rsidP="00D9403F">
      <w:pPr>
        <w:pStyle w:val="Style3"/>
        <w:widowControl/>
        <w:spacing w:line="240" w:lineRule="auto"/>
        <w:rPr>
          <w:sz w:val="28"/>
          <w:szCs w:val="28"/>
        </w:rPr>
      </w:pPr>
    </w:p>
    <w:p w:rsidR="005532FB" w:rsidRPr="005532FB" w:rsidRDefault="005532FB" w:rsidP="00553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2FB">
        <w:rPr>
          <w:rFonts w:ascii="Times New Roman" w:eastAsia="Calibri" w:hAnsi="Times New Roman" w:cs="Times New Roman"/>
          <w:sz w:val="28"/>
          <w:szCs w:val="28"/>
        </w:rPr>
        <w:t xml:space="preserve">Об одобрении  Прогноза социально – </w:t>
      </w:r>
    </w:p>
    <w:p w:rsidR="005532FB" w:rsidRPr="005532FB" w:rsidRDefault="005532FB" w:rsidP="00553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2FB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Михайловского </w:t>
      </w:r>
    </w:p>
    <w:p w:rsidR="005532FB" w:rsidRPr="005532FB" w:rsidRDefault="005532FB" w:rsidP="00553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2FB">
        <w:rPr>
          <w:rFonts w:ascii="Times New Roman" w:eastAsia="Calibri" w:hAnsi="Times New Roman" w:cs="Times New Roman"/>
          <w:sz w:val="28"/>
          <w:szCs w:val="28"/>
        </w:rPr>
        <w:t xml:space="preserve">сельсовета Михайловского района </w:t>
      </w:r>
    </w:p>
    <w:p w:rsidR="005532FB" w:rsidRPr="005532FB" w:rsidRDefault="005532FB" w:rsidP="00553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2FB">
        <w:rPr>
          <w:rFonts w:ascii="Times New Roman" w:eastAsia="Calibri" w:hAnsi="Times New Roman" w:cs="Times New Roman"/>
          <w:sz w:val="28"/>
          <w:szCs w:val="28"/>
        </w:rPr>
        <w:t>Алтайского края  на 2025 – 2027 годы</w:t>
      </w:r>
    </w:p>
    <w:p w:rsidR="005532FB" w:rsidRPr="005532FB" w:rsidRDefault="005532FB" w:rsidP="00553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2F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532FB" w:rsidRPr="005532FB" w:rsidRDefault="005532FB" w:rsidP="00553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2FB" w:rsidRPr="005532FB" w:rsidRDefault="005532FB" w:rsidP="0055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173 БК РФ,  постановлением  Администрации Михайловского района от 25.04.2016 года  № 146 «Об утверждении Порядков разработки, корректировки, осуществления мониторинга и контроля реализации документов стратегического планирования»,  </w:t>
      </w:r>
    </w:p>
    <w:p w:rsidR="005532FB" w:rsidRPr="005532FB" w:rsidRDefault="005532FB" w:rsidP="00553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 о с </w:t>
      </w:r>
      <w:proofErr w:type="gramStart"/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н о в л я ю:</w:t>
      </w:r>
    </w:p>
    <w:p w:rsidR="005532FB" w:rsidRPr="005532FB" w:rsidRDefault="005532FB" w:rsidP="0055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Одобрить Прогноз социально–экономического развития  </w:t>
      </w:r>
      <w:r w:rsidRPr="005532FB">
        <w:rPr>
          <w:rFonts w:ascii="Times New Roman" w:eastAsia="Calibri" w:hAnsi="Times New Roman" w:cs="Times New Roman"/>
          <w:sz w:val="28"/>
          <w:szCs w:val="28"/>
        </w:rPr>
        <w:t>Михайловского сельсовета Михайловского района Алтайского края  на 2025 – 2027 годы</w:t>
      </w:r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(приложение).</w:t>
      </w:r>
    </w:p>
    <w:p w:rsidR="005532FB" w:rsidRPr="005532FB" w:rsidRDefault="005532FB" w:rsidP="0055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Прогноз социально–экономического развития  </w:t>
      </w:r>
      <w:r w:rsidRPr="005532FB">
        <w:rPr>
          <w:rFonts w:ascii="Times New Roman" w:eastAsia="Calibri" w:hAnsi="Times New Roman" w:cs="Times New Roman"/>
          <w:sz w:val="28"/>
          <w:szCs w:val="28"/>
        </w:rPr>
        <w:t>Михайловского  Сельсовета Михайловского района Алтайского края  на 2025 – 2027 годы</w:t>
      </w:r>
      <w:r w:rsidRPr="005532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представить в Михайловский сельский Совет депутатов Михайловского района Алтайского края  одновременно с проектом  решения о бюджете муниципального образования Михайловский  сельсовет Михайловского района Алтайского края на 2025 год.</w:t>
      </w:r>
    </w:p>
    <w:p w:rsidR="00575933" w:rsidRPr="00575933" w:rsidRDefault="005532FB" w:rsidP="005532FB">
      <w:pPr>
        <w:pStyle w:val="Style5"/>
        <w:widowControl/>
        <w:tabs>
          <w:tab w:val="left" w:pos="567"/>
        </w:tabs>
        <w:spacing w:line="240" w:lineRule="auto"/>
        <w:ind w:firstLine="0"/>
        <w:rPr>
          <w:sz w:val="28"/>
        </w:rPr>
      </w:pPr>
      <w:r w:rsidRPr="005532FB">
        <w:rPr>
          <w:sz w:val="28"/>
        </w:rPr>
        <w:tab/>
        <w:t xml:space="preserve">3. Контроль за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Михайловского </w:t>
      </w:r>
      <w:proofErr w:type="gramStart"/>
      <w:r w:rsidRPr="005532FB">
        <w:rPr>
          <w:sz w:val="28"/>
        </w:rPr>
        <w:t>района  Антонову</w:t>
      </w:r>
      <w:proofErr w:type="gramEnd"/>
      <w:r w:rsidRPr="005532FB">
        <w:rPr>
          <w:sz w:val="28"/>
        </w:rPr>
        <w:t xml:space="preserve"> О.А.</w:t>
      </w:r>
    </w:p>
    <w:p w:rsidR="00453794" w:rsidRPr="00575933" w:rsidRDefault="00453794" w:rsidP="00575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53794" w:rsidRPr="00575933" w:rsidRDefault="00453794" w:rsidP="0045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1C12" w:rsidRPr="00575933" w:rsidRDefault="00011C12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C57285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95BAB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195BAB">
        <w:rPr>
          <w:rFonts w:ascii="Times New Roman" w:hAnsi="Times New Roman" w:cs="Times New Roman"/>
          <w:sz w:val="28"/>
        </w:rPr>
        <w:t xml:space="preserve"> </w:t>
      </w:r>
      <w:r w:rsidR="00453794" w:rsidRPr="00575933">
        <w:rPr>
          <w:rFonts w:ascii="Times New Roman" w:hAnsi="Times New Roman" w:cs="Times New Roman"/>
          <w:sz w:val="28"/>
        </w:rPr>
        <w:t xml:space="preserve"> </w:t>
      </w:r>
      <w:r w:rsidR="00011C12" w:rsidRPr="00575933">
        <w:rPr>
          <w:rFonts w:ascii="Times New Roman" w:hAnsi="Times New Roman" w:cs="Times New Roman"/>
          <w:sz w:val="28"/>
        </w:rPr>
        <w:t xml:space="preserve">района                    </w:t>
      </w:r>
      <w:r w:rsidR="00D068E8" w:rsidRPr="00575933">
        <w:rPr>
          <w:rFonts w:ascii="Times New Roman" w:hAnsi="Times New Roman" w:cs="Times New Roman"/>
          <w:sz w:val="28"/>
        </w:rPr>
        <w:tab/>
      </w:r>
      <w:r w:rsidR="00011C12" w:rsidRPr="00575933">
        <w:rPr>
          <w:rFonts w:ascii="Times New Roman" w:hAnsi="Times New Roman" w:cs="Times New Roman"/>
          <w:sz w:val="28"/>
        </w:rPr>
        <w:t xml:space="preserve"> </w:t>
      </w:r>
      <w:r w:rsidR="006D1A07" w:rsidRPr="00575933">
        <w:rPr>
          <w:rFonts w:ascii="Times New Roman" w:hAnsi="Times New Roman" w:cs="Times New Roman"/>
          <w:sz w:val="28"/>
        </w:rPr>
        <w:tab/>
      </w:r>
      <w:r w:rsidR="006D1A07" w:rsidRPr="00575933">
        <w:rPr>
          <w:rFonts w:ascii="Times New Roman" w:hAnsi="Times New Roman" w:cs="Times New Roman"/>
          <w:sz w:val="28"/>
        </w:rPr>
        <w:tab/>
      </w:r>
      <w:r w:rsidR="006D1A07" w:rsidRPr="00575933">
        <w:rPr>
          <w:rFonts w:ascii="Times New Roman" w:hAnsi="Times New Roman" w:cs="Times New Roman"/>
          <w:sz w:val="28"/>
        </w:rPr>
        <w:tab/>
        <w:t xml:space="preserve">   </w:t>
      </w:r>
      <w:r w:rsidR="00195BA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95BAB">
        <w:rPr>
          <w:rFonts w:ascii="Times New Roman" w:hAnsi="Times New Roman" w:cs="Times New Roman"/>
          <w:sz w:val="28"/>
        </w:rPr>
        <w:t>Е.А. Юрьев</w:t>
      </w: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1133E4" w:rsidRDefault="001133E4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1133E4" w:rsidRDefault="001133E4" w:rsidP="001133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133E4" w:rsidSect="007A5543">
          <w:pgSz w:w="11906" w:h="16838"/>
          <w:pgMar w:top="851" w:right="707" w:bottom="851" w:left="1276" w:header="708" w:footer="708" w:gutter="0"/>
          <w:cols w:space="708"/>
          <w:docGrid w:linePitch="360"/>
        </w:sectPr>
      </w:pPr>
    </w:p>
    <w:tbl>
      <w:tblPr>
        <w:tblW w:w="16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96"/>
        <w:gridCol w:w="164"/>
        <w:gridCol w:w="3808"/>
        <w:gridCol w:w="1134"/>
        <w:gridCol w:w="485"/>
        <w:gridCol w:w="649"/>
        <w:gridCol w:w="1134"/>
        <w:gridCol w:w="1134"/>
        <w:gridCol w:w="1134"/>
        <w:gridCol w:w="1134"/>
        <w:gridCol w:w="1134"/>
        <w:gridCol w:w="84"/>
        <w:gridCol w:w="1049"/>
        <w:gridCol w:w="1134"/>
        <w:gridCol w:w="1276"/>
        <w:gridCol w:w="465"/>
      </w:tblGrid>
      <w:tr w:rsidR="00CB1C5C" w:rsidRPr="006C575F" w:rsidTr="00C27690">
        <w:trPr>
          <w:trHeight w:val="837"/>
        </w:trPr>
        <w:tc>
          <w:tcPr>
            <w:tcW w:w="6014" w:type="dxa"/>
            <w:gridSpan w:val="6"/>
            <w:shd w:val="clear" w:color="auto" w:fill="auto"/>
            <w:hideMark/>
          </w:tcPr>
          <w:p w:rsidR="00CB1C5C" w:rsidRDefault="00CB1C5C" w:rsidP="00C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B1C5C" w:rsidRDefault="00CB1C5C" w:rsidP="00C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gridSpan w:val="7"/>
            <w:shd w:val="clear" w:color="auto" w:fill="auto"/>
          </w:tcPr>
          <w:p w:rsidR="00CB1C5C" w:rsidRDefault="00CB1C5C" w:rsidP="00C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CB1C5C" w:rsidRPr="00581F89" w:rsidRDefault="00CB1C5C" w:rsidP="00C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</w:p>
          <w:p w:rsidR="00CB1C5C" w:rsidRPr="00581F89" w:rsidRDefault="00CB1C5C" w:rsidP="00C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 Администрации Михайловского района</w:t>
            </w:r>
          </w:p>
          <w:p w:rsidR="00CB1C5C" w:rsidRPr="006C575F" w:rsidRDefault="00CB1C5C" w:rsidP="007C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7C5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30.10.2024</w:t>
            </w:r>
            <w:r w:rsidR="00581F89" w:rsidRPr="00581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1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 № </w:t>
            </w:r>
            <w:r w:rsidR="007C5D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  <w:bookmarkStart w:id="0" w:name="_GoBack"/>
            <w:bookmarkEnd w:id="0"/>
            <w:r w:rsidR="003D5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</w:tr>
      <w:tr w:rsidR="001133E4" w:rsidRPr="006C575F" w:rsidTr="00C27690">
        <w:trPr>
          <w:gridAfter w:val="15"/>
          <w:wAfter w:w="15918" w:type="dxa"/>
          <w:trHeight w:val="300"/>
        </w:trPr>
        <w:tc>
          <w:tcPr>
            <w:tcW w:w="423" w:type="dxa"/>
            <w:gridSpan w:val="2"/>
            <w:shd w:val="clear" w:color="auto" w:fill="auto"/>
            <w:noWrap/>
            <w:vAlign w:val="bottom"/>
            <w:hideMark/>
          </w:tcPr>
          <w:p w:rsidR="001133E4" w:rsidRPr="006C575F" w:rsidRDefault="00CB1C5C" w:rsidP="0011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</w:t>
            </w:r>
          </w:p>
        </w:tc>
      </w:tr>
      <w:tr w:rsidR="001133E4" w:rsidRPr="006C575F" w:rsidTr="00C27690">
        <w:trPr>
          <w:trHeight w:val="315"/>
        </w:trPr>
        <w:tc>
          <w:tcPr>
            <w:tcW w:w="16341" w:type="dxa"/>
            <w:gridSpan w:val="17"/>
            <w:shd w:val="clear" w:color="auto" w:fill="auto"/>
            <w:hideMark/>
          </w:tcPr>
          <w:p w:rsidR="00373069" w:rsidRDefault="001133E4" w:rsidP="00D9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5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 социально-экономического развития </w:t>
            </w:r>
            <w:r w:rsidR="0037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Михайловского сельсовета </w:t>
            </w:r>
            <w:r w:rsidRPr="006C5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Михайловского района </w:t>
            </w:r>
            <w:r w:rsidR="003730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Алтайского края </w:t>
            </w:r>
          </w:p>
          <w:p w:rsidR="001133E4" w:rsidRDefault="001133E4" w:rsidP="00D9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5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554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6C5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-202</w:t>
            </w:r>
            <w:r w:rsidR="00554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6C5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</w:t>
            </w:r>
          </w:p>
          <w:p w:rsidR="00C939F3" w:rsidRPr="006C575F" w:rsidRDefault="00C939F3" w:rsidP="00C9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9F3" w:rsidTr="00C27690">
        <w:trPr>
          <w:gridBefore w:val="1"/>
          <w:gridAfter w:val="1"/>
          <w:wBefore w:w="127" w:type="dxa"/>
          <w:wAfter w:w="465" w:type="dxa"/>
          <w:trHeight w:val="315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75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факт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C939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полугодие 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Оценка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C939F3" w:rsidTr="00C27690">
        <w:trPr>
          <w:gridBefore w:val="1"/>
          <w:gridAfter w:val="1"/>
          <w:wBefore w:w="127" w:type="dxa"/>
          <w:wAfter w:w="465" w:type="dxa"/>
          <w:trHeight w:val="315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110A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10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C939F3" w:rsidTr="00C27690">
        <w:trPr>
          <w:gridBefore w:val="1"/>
          <w:gridAfter w:val="1"/>
          <w:wBefore w:w="127" w:type="dxa"/>
          <w:wAfter w:w="465" w:type="dxa"/>
          <w:trHeight w:val="390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9F3" w:rsidRPr="00C939F3" w:rsidRDefault="00C939F3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9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2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507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Default="00E121A3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8803</w:t>
            </w:r>
          </w:p>
          <w:p w:rsidR="00E121A3" w:rsidRPr="00C939F3" w:rsidRDefault="00E121A3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121A3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F0D85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F0D8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F0D8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F0D8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F0D8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F0D85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F0D8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1042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ACC" w:rsidRPr="00C939F3" w:rsidRDefault="007F0D8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C842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78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Индекс промышленного производства по кругу крупных и средних организаций,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Default="007F0D8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81,7</w:t>
            </w:r>
          </w:p>
          <w:p w:rsidR="007F0D85" w:rsidRPr="00C939F3" w:rsidRDefault="007F0D8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C939F3" w:rsidRDefault="007F0D8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5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67D08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 xml:space="preserve">Объем продукции сельского хозяйства в хозяйствах всех категорий, </w:t>
            </w:r>
            <w:proofErr w:type="spellStart"/>
            <w:r w:rsidRPr="00C67D08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C67D0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388,8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356251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251">
              <w:rPr>
                <w:rFonts w:ascii="Times New Roman" w:hAnsi="Times New Roman" w:cs="Times New Roman"/>
                <w:color w:val="000000"/>
              </w:rPr>
              <w:t>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356251" w:rsidRDefault="00356251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251">
              <w:rPr>
                <w:rFonts w:ascii="Times New Roman" w:hAnsi="Times New Roman" w:cs="Times New Roman"/>
                <w:color w:val="00000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7F0D85" w:rsidRDefault="00356251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372FF">
              <w:rPr>
                <w:rFonts w:ascii="Times New Roman" w:hAnsi="Times New Roman" w:cs="Times New Roman"/>
                <w:color w:val="000000"/>
              </w:rPr>
              <w:t>432,7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B372FF" w:rsidRDefault="00356251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2FF">
              <w:rPr>
                <w:rFonts w:ascii="Times New Roman" w:hAnsi="Times New Roman" w:cs="Times New Roman"/>
                <w:color w:val="000000"/>
              </w:rPr>
              <w:t>435</w:t>
            </w:r>
            <w:r w:rsidR="00B372FF" w:rsidRPr="00B372FF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B372FF" w:rsidRDefault="00356251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2FF">
              <w:rPr>
                <w:rFonts w:ascii="Times New Roman" w:hAnsi="Times New Roman" w:cs="Times New Roman"/>
                <w:color w:val="000000"/>
              </w:rPr>
              <w:t>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B372FF" w:rsidRDefault="00B372FF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2FF">
              <w:rPr>
                <w:rFonts w:ascii="Times New Roman" w:hAnsi="Times New Roman" w:cs="Times New Roman"/>
                <w:color w:val="000000"/>
              </w:rPr>
              <w:t>452,0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54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ACC" w:rsidRPr="00C67D08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5A1A72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5A1A72" w:rsidRDefault="005A1A7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A72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67D08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67D08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67D08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67D08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67D08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67D08" w:rsidRDefault="00C67D0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D08">
              <w:rPr>
                <w:rFonts w:ascii="Times New Roman" w:hAnsi="Times New Roman" w:cs="Times New Roman"/>
                <w:color w:val="000000"/>
              </w:rPr>
              <w:t>10</w:t>
            </w:r>
            <w:r w:rsidR="00B372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287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Оборот розничной торговли</w:t>
            </w:r>
            <w:r>
              <w:rPr>
                <w:rFonts w:ascii="Times New Roman" w:hAnsi="Times New Roman" w:cs="Times New Roman"/>
                <w:color w:val="000000"/>
              </w:rPr>
              <w:t xml:space="preserve"> (по организациям, не относящимся к субъектам малого предпринимательства</w:t>
            </w:r>
            <w:r w:rsidRPr="00C939F3">
              <w:rPr>
                <w:rFonts w:ascii="Times New Roman" w:hAnsi="Times New Roman" w:cs="Times New Roman"/>
                <w:color w:val="000000"/>
              </w:rPr>
              <w:t>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Default="00505ED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1290,7</w:t>
            </w:r>
          </w:p>
          <w:p w:rsidR="00505EDB" w:rsidRPr="00C939F3" w:rsidRDefault="00505ED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C939F3" w:rsidRDefault="00505ED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548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Темп роста оборота розничной торговли,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505ED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C939F3" w:rsidRDefault="00F373A9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413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Оборот розничной торговли на душу населения,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505ED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C939F3" w:rsidRDefault="00F373A9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EF6A9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186,8</w:t>
            </w:r>
          </w:p>
        </w:tc>
      </w:tr>
      <w:tr w:rsidR="007750A8" w:rsidTr="00C27690">
        <w:trPr>
          <w:gridBefore w:val="1"/>
          <w:gridAfter w:val="1"/>
          <w:wBefore w:w="127" w:type="dxa"/>
          <w:wAfter w:w="465" w:type="dxa"/>
          <w:trHeight w:val="321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A8" w:rsidRPr="00C939F3" w:rsidRDefault="007750A8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A8" w:rsidRPr="00222C6C" w:rsidRDefault="007750A8" w:rsidP="008319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22C6C">
              <w:rPr>
                <w:rFonts w:ascii="Times New Roman" w:hAnsi="Times New Roman" w:cs="Times New Roman"/>
                <w:color w:val="000000"/>
              </w:rPr>
              <w:t>Объем платных услуг населению,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Pr="00222C6C" w:rsidRDefault="007750A8" w:rsidP="00B74816">
            <w:pPr>
              <w:jc w:val="center"/>
              <w:rPr>
                <w:color w:val="000000"/>
              </w:rPr>
            </w:pPr>
            <w:r w:rsidRPr="00222C6C">
              <w:rPr>
                <w:color w:val="000000"/>
              </w:rPr>
              <w:t>194,2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Pr="00222C6C" w:rsidRDefault="007750A8" w:rsidP="00B74816">
            <w:pPr>
              <w:jc w:val="center"/>
              <w:rPr>
                <w:color w:val="000000"/>
              </w:rPr>
            </w:pPr>
            <w:r w:rsidRPr="00222C6C">
              <w:rPr>
                <w:color w:val="000000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0A8" w:rsidRPr="00222C6C" w:rsidRDefault="007750A8" w:rsidP="00B74816">
            <w:pPr>
              <w:jc w:val="center"/>
              <w:rPr>
                <w:color w:val="000000"/>
              </w:rPr>
            </w:pPr>
            <w:r w:rsidRPr="00222C6C">
              <w:rPr>
                <w:color w:val="00000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Pr="00222C6C" w:rsidRDefault="007750A8" w:rsidP="00B74816">
            <w:pPr>
              <w:jc w:val="center"/>
              <w:rPr>
                <w:color w:val="000000"/>
              </w:rPr>
            </w:pPr>
            <w:r w:rsidRPr="00222C6C">
              <w:rPr>
                <w:color w:val="000000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7750A8" w:rsidTr="00C27690">
        <w:trPr>
          <w:gridBefore w:val="1"/>
          <w:gridAfter w:val="1"/>
          <w:wBefore w:w="127" w:type="dxa"/>
          <w:wAfter w:w="465" w:type="dxa"/>
          <w:trHeight w:val="553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A8" w:rsidRPr="00C939F3" w:rsidRDefault="007750A8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A8" w:rsidRPr="00C939F3" w:rsidRDefault="007750A8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A8" w:rsidRDefault="007750A8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561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Объем платных услуг населению на душу населения, тыс.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39F3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673BEF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F25BB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DB" w:rsidRPr="00C939F3" w:rsidRDefault="00673BEF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EF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</w:t>
            </w:r>
          </w:p>
          <w:p w:rsidR="007750A8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673BEF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</w:t>
            </w:r>
            <w:r w:rsidR="007750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26,1</w:t>
            </w:r>
          </w:p>
          <w:p w:rsidR="00673BEF" w:rsidRPr="00C939F3" w:rsidRDefault="00673BEF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29,3</w:t>
            </w:r>
          </w:p>
          <w:p w:rsidR="007750A8" w:rsidRPr="00C939F3" w:rsidRDefault="007750A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976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7CBC">
              <w:rPr>
                <w:rFonts w:ascii="Times New Roman" w:hAnsi="Times New Roman" w:cs="Times New Roman"/>
                <w:color w:val="000000"/>
              </w:rPr>
              <w:t>Объем инвестиций в основной капитал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E4477C" w:rsidRDefault="00E4477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77C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E4477C" w:rsidRDefault="00F221B2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77C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125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Индекс физического объема инвестиций (без субъектов малого предпринимательства и объемов инвестиций, не наблюдаемых прямыми статистическими методами),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Default="00E4477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  <w:p w:rsidR="004A0A04" w:rsidRPr="00C939F3" w:rsidRDefault="004A0A04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C939F3" w:rsidRDefault="004A0A04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125DE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125DE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125DE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125DE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7125DE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BF06E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42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4132F3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4132F3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C939F3" w:rsidRDefault="004132F3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C939F3" w:rsidRDefault="00110AC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1640</w:t>
            </w:r>
          </w:p>
        </w:tc>
      </w:tr>
      <w:tr w:rsidR="00110ACC" w:rsidTr="00C27690">
        <w:trPr>
          <w:gridBefore w:val="1"/>
          <w:gridAfter w:val="1"/>
          <w:wBefore w:w="127" w:type="dxa"/>
          <w:wAfter w:w="465" w:type="dxa"/>
          <w:trHeight w:val="75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ACC" w:rsidRPr="00C939F3" w:rsidRDefault="00110ACC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1816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702221,7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1816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784819,4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CC" w:rsidRPr="00D45D51" w:rsidRDefault="0018162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4471</w:t>
            </w:r>
            <w:r w:rsidR="009101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5,</w:t>
            </w:r>
            <w:r w:rsidR="009101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817056,0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910145" w:rsidP="00B74816">
            <w:pPr>
              <w:spacing w:after="0" w:line="240" w:lineRule="auto"/>
              <w:ind w:left="99" w:hanging="99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887927,9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895095,4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964923,8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974479,2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1038851,1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CC" w:rsidRPr="00D45D51" w:rsidRDefault="00056DA4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1053982,0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84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49636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53556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56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910145" w:rsidP="00B74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55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Численность занятых в экономике (среднегодовая),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0145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3356</w:t>
            </w:r>
          </w:p>
          <w:p w:rsidR="008974CB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974CB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3306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84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185118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85118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A85CB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A85CB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697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185118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85118">
              <w:rPr>
                <w:rFonts w:ascii="Times New Roman" w:hAnsi="Times New Roman" w:cs="Times New Roman"/>
                <w:color w:val="000000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18511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10145" w:rsidTr="00110ACC">
        <w:trPr>
          <w:gridBefore w:val="1"/>
          <w:gridAfter w:val="1"/>
          <w:wBefore w:w="127" w:type="dxa"/>
          <w:wAfter w:w="465" w:type="dxa"/>
          <w:trHeight w:val="49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CE1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76667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76667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Мясо и субпродукты,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1491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B07E2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735F38" w:rsidRDefault="00B74816" w:rsidP="00B74816">
            <w:pPr>
              <w:jc w:val="center"/>
            </w:pPr>
            <w: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B74816" w:rsidP="00B74816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F23CCD" w:rsidRDefault="00B74816" w:rsidP="00B74816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B74816" w:rsidP="00B74816">
            <w:pPr>
              <w:jc w:val="center"/>
            </w:pPr>
            <w:r>
              <w:t>55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521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Мясные полуфабрикаты (замороженные и охлажденные),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1491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B07E2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27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Хлеб и хлебобулочные изделия,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07E2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B07E2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136F96" w:rsidRDefault="00B74816" w:rsidP="00B74816">
            <w:pPr>
              <w:jc w:val="center"/>
            </w:pPr>
            <w:r>
              <w:t>230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B74816" w:rsidP="00B74816">
            <w:pPr>
              <w:jc w:val="center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004B7E" w:rsidRDefault="00B74816" w:rsidP="00B74816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Default="00B74816" w:rsidP="00B74816">
            <w:pPr>
              <w:jc w:val="center"/>
            </w:pPr>
            <w:r>
              <w:t>235</w:t>
            </w:r>
          </w:p>
        </w:tc>
      </w:tr>
      <w:tr w:rsidR="00910145" w:rsidTr="00E65CE1">
        <w:trPr>
          <w:gridBefore w:val="1"/>
          <w:gridAfter w:val="1"/>
          <w:wBefore w:w="127" w:type="dxa"/>
          <w:wAfter w:w="465" w:type="dxa"/>
          <w:trHeight w:val="587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 xml:space="preserve">Изделия макаронные, </w:t>
            </w:r>
            <w:proofErr w:type="spellStart"/>
            <w:r w:rsidRPr="00C939F3">
              <w:rPr>
                <w:rFonts w:ascii="Times New Roman" w:hAnsi="Times New Roman" w:cs="Times New Roman"/>
                <w:color w:val="000000"/>
              </w:rPr>
              <w:t>кускус</w:t>
            </w:r>
            <w:proofErr w:type="spellEnd"/>
            <w:r w:rsidRPr="00C939F3">
              <w:rPr>
                <w:rFonts w:ascii="Times New Roman" w:hAnsi="Times New Roman" w:cs="Times New Roman"/>
                <w:color w:val="000000"/>
              </w:rPr>
              <w:t xml:space="preserve"> и аналогичные мучные изделия,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1491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B07E2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Мука,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81491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B07E2C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237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Зерновые и зернобобовые, включая кукурузу,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6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Подсолнечник   на зерно в весе после доработки,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Картофель,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Овощи,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232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Крупный рогатый скот,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Коровы,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Свиньи,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6DD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48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Произведено на убой скота и птицы в живом весе,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9C16DD" w:rsidRDefault="00840530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3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Надоено молока,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9C16DD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511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D276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76C8">
              <w:rPr>
                <w:rFonts w:ascii="Times New Roman" w:hAnsi="Times New Roman" w:cs="Times New Roman"/>
                <w:color w:val="000000"/>
              </w:rPr>
              <w:t>Hадоено</w:t>
            </w:r>
            <w:proofErr w:type="spellEnd"/>
            <w:r w:rsidRPr="00D276C8">
              <w:rPr>
                <w:rFonts w:ascii="Times New Roman" w:hAnsi="Times New Roman" w:cs="Times New Roman"/>
                <w:color w:val="000000"/>
              </w:rPr>
              <w:t xml:space="preserve"> молока на 1 корову,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B74816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B7481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F0FF9" w:rsidRDefault="00D276C8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3240</w:t>
            </w:r>
          </w:p>
        </w:tc>
      </w:tr>
      <w:tr w:rsidR="00910145" w:rsidTr="00C27690">
        <w:trPr>
          <w:gridBefore w:val="1"/>
          <w:gridAfter w:val="1"/>
          <w:wBefore w:w="127" w:type="dxa"/>
          <w:wAfter w:w="465" w:type="dxa"/>
          <w:trHeight w:val="26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45" w:rsidRPr="00C939F3" w:rsidRDefault="00910145" w:rsidP="00C939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939F3">
              <w:rPr>
                <w:rFonts w:ascii="Times New Roman" w:hAnsi="Times New Roman" w:cs="Times New Roman"/>
                <w:color w:val="000000"/>
              </w:rPr>
              <w:t xml:space="preserve">Получено яиц от всех видов птицы, тыс. </w:t>
            </w:r>
            <w:proofErr w:type="spellStart"/>
            <w:r w:rsidRPr="00C939F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3733FD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145" w:rsidRPr="00C939F3" w:rsidRDefault="00840530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733F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145" w:rsidRPr="00C939F3" w:rsidRDefault="00910145" w:rsidP="00B748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</w:t>
            </w:r>
          </w:p>
        </w:tc>
      </w:tr>
    </w:tbl>
    <w:p w:rsidR="001133E4" w:rsidRDefault="001133E4" w:rsidP="00011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F0303" w:rsidRDefault="00BF0303" w:rsidP="00BF0303">
      <w:pPr>
        <w:sectPr w:rsidR="00BF0303" w:rsidSect="006C575F">
          <w:pgSz w:w="16838" w:h="11906" w:orient="landscape"/>
          <w:pgMar w:top="567" w:right="851" w:bottom="709" w:left="851" w:header="709" w:footer="709" w:gutter="0"/>
          <w:cols w:space="708"/>
          <w:docGrid w:linePitch="360"/>
        </w:sectPr>
      </w:pP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81F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Пояснительная записка к прогнозу социально-экономического развития </w:t>
      </w:r>
      <w:r w:rsidR="007D78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Михайловского сельсовета </w:t>
      </w:r>
      <w:r w:rsidRPr="00581F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Михайловского района </w:t>
      </w:r>
      <w:r w:rsidR="007D78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Алтайского края</w:t>
      </w:r>
      <w:r w:rsidRPr="00581F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202</w:t>
      </w:r>
      <w:r w:rsidR="005547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581F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</w:t>
      </w:r>
      <w:r w:rsidR="005547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Pr="00581F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годы</w:t>
      </w: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81F89" w:rsidRPr="00581F89" w:rsidRDefault="00581F89" w:rsidP="00581F8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1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оценка социально – экономической ситуации за отчетный период.</w:t>
      </w:r>
    </w:p>
    <w:p w:rsidR="006A661C" w:rsidRDefault="00581F89" w:rsidP="0058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населения </w:t>
      </w:r>
      <w:r w:rsid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</w:t>
      </w:r>
      <w:r w:rsid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01.01.202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0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8788 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По отношению к началу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численность уменьшилась на </w:t>
      </w:r>
      <w:r w:rsidR="0007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2D5CEF" w:rsidRP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6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Михайловское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r w:rsidR="006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убыль населения, которая обусловлена низкой рождаемостью, высокой смертностью и 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</w:t>
      </w:r>
      <w:r w:rsidR="006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отток</w:t>
      </w:r>
      <w:r w:rsidR="006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населения</w:t>
      </w:r>
      <w:proofErr w:type="gramEnd"/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села.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 ожида</w:t>
      </w:r>
      <w:r w:rsidR="002909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убыль  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22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D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A661C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F89" w:rsidRPr="00581F89" w:rsidRDefault="00581F89" w:rsidP="006A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промышленном производстве сохраняется стабильная экономическая ситуация. По данным органов государственной статистики за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4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461B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6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объемов промышленного производства не ожидается.</w:t>
      </w:r>
    </w:p>
    <w:p w:rsidR="00092576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малом бизнесе </w:t>
      </w:r>
      <w:r w:rsidR="00DA3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 порядка 1500 человек</w:t>
      </w:r>
      <w:r w:rsidR="0045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2022  - 2023 годах </w:t>
      </w:r>
      <w:r w:rsidR="00FE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МСП возросло на 352 человека, </w:t>
      </w:r>
      <w:r w:rsidR="0045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8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введением налога на профессиональный доход и ростом числа </w:t>
      </w:r>
      <w:proofErr w:type="spellStart"/>
      <w:r w:rsidR="00F85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F8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</w:p>
    <w:p w:rsidR="00581F89" w:rsidRPr="00384C76" w:rsidRDefault="002D5CEF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нвестиционная  активность</w:t>
      </w:r>
      <w:proofErr w:type="gramEnd"/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Михайловское не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инвестиций </w:t>
      </w:r>
      <w:r w:rsidR="00C73316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и средних организаций 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6B2982">
        <w:rPr>
          <w:rFonts w:ascii="Times New Roman" w:eastAsia="Times New Roman" w:hAnsi="Times New Roman" w:cs="Times New Roman"/>
          <w:sz w:val="28"/>
          <w:szCs w:val="28"/>
          <w:lang w:eastAsia="ru-RU"/>
        </w:rPr>
        <w:t>33,6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в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B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инвестиций составит не более </w:t>
      </w:r>
      <w:r w:rsidRPr="006B29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581F89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C76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инвестиций в основной капитал по источникам финансирования </w:t>
      </w:r>
      <w:r w:rsidR="006B2982">
        <w:rPr>
          <w:rFonts w:ascii="Times New Roman" w:eastAsia="Times New Roman" w:hAnsi="Times New Roman" w:cs="Times New Roman"/>
          <w:sz w:val="28"/>
          <w:szCs w:val="28"/>
          <w:lang w:eastAsia="ru-RU"/>
        </w:rPr>
        <w:t>41%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="00384C76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инвестиций за счет </w:t>
      </w:r>
      <w:r w:rsidR="00384C76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84C76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092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C76" w:rsidRPr="0038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911CA" w:rsidRPr="00384C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581F89" w:rsidRPr="00581F89" w:rsidRDefault="00581F89" w:rsidP="00487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настоящее время экономика </w:t>
      </w:r>
      <w:r w:rsidR="00150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сельсовета, так же  как  района,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 социальную направленность</w:t>
      </w:r>
      <w:r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89F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92882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полномочий в сфере культуры, спорта</w:t>
      </w:r>
      <w:r w:rsidR="0022689F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2882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9F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 ремонта дорог </w:t>
      </w:r>
      <w:r w:rsidR="00592882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</w:t>
      </w:r>
      <w:r w:rsidR="0022689F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порядка </w:t>
      </w:r>
      <w:r w:rsidR="0022689F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22689F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ежегодно. </w:t>
      </w:r>
      <w:r w:rsidR="00FC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79F" w:rsidRPr="00D15E3F" w:rsidRDefault="0022689F" w:rsidP="007E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1A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proofErr w:type="gramStart"/>
      <w:r w:rsidR="00FC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 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7476AF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proofErr w:type="gramEnd"/>
      <w:r w:rsidR="007476AF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«Благоустройство пешеходной зоны по пр. Октябрьский, ул. Садовая  в с. Михайловское,</w:t>
      </w:r>
      <w:r w:rsidR="007476AF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 w:rsidR="00FC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более 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млн. рублей. В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</w:t>
      </w:r>
      <w:r w:rsidR="007476AF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1A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программе «Комплексное развитие сельских территорий», «Обустройство площадок накопления твердых коммунальных отходов в селе Михайловское» стоимость проект</w:t>
      </w:r>
      <w:r w:rsidR="0015001A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2995 тыс.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Проекта поддержки местных инициатив </w:t>
      </w:r>
      <w:r w:rsid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реализуется проект по обустройству площади, стоимость проекта 1839 тыс. рублей</w:t>
      </w:r>
      <w:r w:rsidR="00581F89" w:rsidRP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</w:t>
      </w:r>
      <w:proofErr w:type="gramStart"/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ликвидации</w:t>
      </w:r>
      <w:proofErr w:type="gramEnd"/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паводка в 2024</w:t>
      </w:r>
      <w:r w:rsidR="00BE4112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годах планируется</w:t>
      </w:r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</w:t>
      </w:r>
      <w:r w:rsidR="00BE411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BE41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Михайловское на сумму </w:t>
      </w:r>
      <w:r w:rsidR="00BE4112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="007E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развивается отрасль торговли, объем товарооборота ежегодно возрастает</w:t>
      </w:r>
      <w:r w:rsidR="00E2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товарооборота</w:t>
      </w:r>
      <w:r w:rsidR="00E2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121,1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E4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126,1</w:t>
      </w:r>
      <w:r w:rsidR="00AE47B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E7B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предыдущему</w:t>
      </w:r>
      <w:r w:rsidR="00F5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оценке</w:t>
      </w:r>
      <w:r w:rsid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5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рост составит</w:t>
      </w:r>
      <w:r w:rsidR="00F5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15E3F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F5040B" w:rsidRP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1C68" w:rsidRDefault="007E1C68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</w:pPr>
      <w:r w:rsidRPr="00581F8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 Демография</w:t>
      </w:r>
    </w:p>
    <w:p w:rsidR="00581F89" w:rsidRPr="00581F89" w:rsidRDefault="00581F89" w:rsidP="001E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Ежегодные показатели уровня рождаемости и смертности </w:t>
      </w:r>
      <w:r w:rsidR="001E7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с. Михайловское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дают оснований прогнозировать рост численности населения.    </w:t>
      </w:r>
    </w:p>
    <w:p w:rsidR="00581F89" w:rsidRPr="00581F89" w:rsidRDefault="00581F89" w:rsidP="00487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демографической ситуации показывает, что к 202</w:t>
      </w:r>
      <w:r w:rsidR="00D15E3F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численность населения </w:t>
      </w:r>
      <w:r w:rsidR="007B2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Михайловское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снизится, и составит </w:t>
      </w:r>
      <w:r w:rsidR="00D15E3F">
        <w:rPr>
          <w:rFonts w:ascii="Times New Roman" w:eastAsia="Times New Roman" w:hAnsi="Times New Roman" w:cs="Times New Roman"/>
          <w:sz w:val="28"/>
          <w:szCs w:val="24"/>
          <w:lang w:eastAsia="ru-RU"/>
        </w:rPr>
        <w:t>8680-8700</w:t>
      </w:r>
      <w:r w:rsidR="007B2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человек. </w:t>
      </w: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9112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3. Труд и занятость</w:t>
      </w:r>
    </w:p>
    <w:p w:rsidR="00581F89" w:rsidRPr="00581F89" w:rsidRDefault="00581F89" w:rsidP="0019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Значительного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</w:t>
      </w:r>
      <w:r w:rsid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численности  занятых</w:t>
      </w:r>
      <w:proofErr w:type="gramEnd"/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экономике </w:t>
      </w:r>
      <w:r w:rsidR="009E116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E27E7B" w:rsidRP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</w:t>
      </w:r>
      <w:r w:rsidR="00E27E7B"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>жидается</w:t>
      </w:r>
      <w:r w:rsid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прогнозируемом периоде 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9E11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E11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</w:t>
      </w:r>
      <w:r w:rsidR="007844D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>т занят</w:t>
      </w:r>
      <w:r w:rsidR="007844D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3300</w:t>
      </w:r>
      <w:r w:rsidR="00E27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человек.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>В  202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и 1 полугодии  202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уровня безработицы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наблюдается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В прогнозируемом периоде, значительного изменения уровня безработицы 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же 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ожидается. Среднемесячная начисленная заработная плата за три прогнозируемых года  возрастет  на 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4,8</w:t>
      </w:r>
      <w:r w:rsidR="0019653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93306">
        <w:rPr>
          <w:rFonts w:ascii="Times New Roman" w:eastAsia="Times New Roman" w:hAnsi="Times New Roman" w:cs="Times New Roman"/>
          <w:sz w:val="28"/>
          <w:szCs w:val="24"/>
          <w:lang w:eastAsia="ru-RU"/>
        </w:rPr>
        <w:t>125,8</w:t>
      </w:r>
      <w:r w:rsidRPr="00581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%. Рост заработной платы будет обусловлен увеличением темпов экономического роста, а так же осуществлением мер по повышению оплаты труда работников бюджетной сферы и внебюджетного сектора экономики.  </w:t>
      </w: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07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Промышленное производство</w:t>
      </w:r>
    </w:p>
    <w:p w:rsidR="00ED0E76" w:rsidRPr="00581F89" w:rsidRDefault="00ED0E76" w:rsidP="00ED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промышленности </w:t>
      </w:r>
      <w:r w:rsidR="0078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33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9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полугодии 2024 года </w:t>
      </w:r>
      <w:r w:rsidR="0019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рост производства промышленной продукции. В 2023 году темп роста составил 104,3%, п</w:t>
      </w:r>
      <w:r w:rsidR="00A94D13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оценке данных полугодия 202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4D13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снижения производства промышленной продукции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года </w:t>
      </w:r>
      <w:r w:rsidR="00A94D13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ожид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и составит</w:t>
      </w:r>
      <w:r w:rsidR="00C8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101,6 % к уровню прошлого года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последующие 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</w:t>
      </w:r>
      <w:r w:rsidR="00A94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положительная динамика по данному показателю.</w:t>
      </w:r>
    </w:p>
    <w:p w:rsidR="00A94D13" w:rsidRDefault="00581F89" w:rsidP="00A94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в сфере промышленного производства достигнут в основном за счет   производства </w:t>
      </w:r>
      <w:r w:rsidR="00423749" w:rsidRPr="00434A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обработки древесины</w:t>
      </w:r>
      <w:r w:rsidR="00434A6D" w:rsidRPr="0043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производства электроэнергии, </w:t>
      </w:r>
      <w:r w:rsidR="0078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энергии, воды</w:t>
      </w:r>
      <w:r w:rsidR="00434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01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94D13" w:rsidRPr="00581F89" w:rsidRDefault="00A94D13" w:rsidP="00A94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 на крупные предприятия.</w:t>
      </w:r>
    </w:p>
    <w:p w:rsidR="00196539" w:rsidRDefault="007844D0" w:rsidP="0019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м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алые  предприятия </w:t>
      </w:r>
      <w:r w:rsid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конкуренци</w:t>
      </w:r>
      <w:r w:rsid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</w:t>
      </w:r>
      <w:r w:rsidR="005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</w:t>
      </w:r>
      <w:r w:rsidR="00196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1965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промышленной продукции</w:t>
      </w:r>
      <w:r w:rsidR="00196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</w:t>
      </w:r>
      <w:r w:rsidR="0019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повлияло на положительную динамику. </w:t>
      </w:r>
    </w:p>
    <w:p w:rsidR="00581F89" w:rsidRPr="00581F89" w:rsidRDefault="00581F89" w:rsidP="001965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1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Сельское хозяйство</w:t>
      </w:r>
    </w:p>
    <w:p w:rsidR="00BB54AF" w:rsidRPr="00581F89" w:rsidRDefault="00BB54AF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отраслью сельского хозяйства в </w:t>
      </w:r>
      <w:r w:rsidR="00E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Михайловское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gramStart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растениеводство,  выращивание</w:t>
      </w:r>
      <w:proofErr w:type="gramEnd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зерновых, зернобобовых культур, подсолнечника и овощных культур</w:t>
      </w:r>
      <w:r w:rsidR="00196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осевные площади составляют </w:t>
      </w:r>
      <w:r w:rsidR="00E51B52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57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гектар.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F89" w:rsidRPr="00581F89" w:rsidRDefault="007844D0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рожайность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зерновых и зернобобовых составила </w:t>
      </w:r>
      <w:r w:rsid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ц/га., </w:t>
      </w:r>
      <w:proofErr w:type="spellStart"/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подсолнечника 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ц/га. </w:t>
      </w:r>
      <w:r w:rsidR="004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неблагоприятными погодными </w:t>
      </w:r>
      <w:proofErr w:type="gramStart"/>
      <w:r w:rsidR="00490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CC72B3" w:rsidRP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B3" w:rsidRP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C72B3" w:rsidRP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72B3" w:rsidRP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урожайность </w:t>
      </w:r>
      <w:r w:rsidR="00CC72B3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зерновых и зернобобовых </w:t>
      </w:r>
      <w:r w:rsid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</w:t>
      </w:r>
      <w:r w:rsidR="00CC72B3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38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72B3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ц/га., </w:t>
      </w:r>
      <w:proofErr w:type="spellStart"/>
      <w:r w:rsidR="00CC72B3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="00CC72B3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подсолнечника </w:t>
      </w:r>
      <w:r w:rsidR="00F01838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72B3" w:rsidRPr="00F01838">
        <w:rPr>
          <w:rFonts w:ascii="Times New Roman" w:eastAsia="Times New Roman" w:hAnsi="Times New Roman" w:cs="Times New Roman"/>
          <w:sz w:val="28"/>
          <w:szCs w:val="28"/>
          <w:lang w:eastAsia="ru-RU"/>
        </w:rPr>
        <w:t>ц/га.</w:t>
      </w:r>
      <w:r w:rsid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AA" w:rsidRP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прогнозируемом периоде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мероприятий по повышению плодородия почвы, гербицидной обработки посевов и своевременно пров</w:t>
      </w:r>
      <w:r w:rsid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одимых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посевных и уборочных работ</w:t>
      </w:r>
      <w:r w:rsidR="000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увеличение урожайности сельскохозяйственных культур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F89" w:rsidRPr="00581F89" w:rsidRDefault="00B751FA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отрасли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поголовья крупного рогатого скота </w:t>
      </w:r>
      <w:r w:rsidR="00581F89" w:rsidRPr="005C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на 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581F89" w:rsidRPr="005C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932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</w:t>
      </w:r>
      <w:r w:rsidR="00581F89" w:rsidRPr="00B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дойного стада </w:t>
      </w:r>
      <w:r w:rsidRPr="00B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 до 3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свиней на 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164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тенденция к снижению продолжается.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="005C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 периода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получения приплода и перевода  молодняка в основное стадо планируется стабилизировать численность поголовья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скота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581F89" w:rsidRPr="00581F89" w:rsidRDefault="00581F89" w:rsidP="00581F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средства направляются на модернизацию  отрасли сельского хозяйства.  В 202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инвестиции на приобретение техники и оборудования составили 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84,3</w:t>
      </w:r>
      <w:r w:rsidRPr="00FD3A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</w:t>
      </w:r>
      <w:r w:rsidRPr="00581F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рублей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прогноз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ируемом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 </w:t>
      </w:r>
      <w:r w:rsid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продолжить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</w:t>
      </w:r>
      <w:r w:rsidR="00CC7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сельскохозяйственной техники.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мероприятия и благоприятные погодные условия позволяют прогнозировать объем валовой продукции сельского хозяйства </w:t>
      </w:r>
      <w:proofErr w:type="gramStart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конец</w:t>
      </w:r>
      <w:proofErr w:type="gramEnd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5C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0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а при более благоприятных условиях –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0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меры увеличат рентабельность сельскохозяйственной отрасли </w:t>
      </w:r>
      <w:proofErr w:type="gramStart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размер</w:t>
      </w:r>
      <w:proofErr w:type="gramEnd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балансовой прибыли.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прогнозных показателей  в значительной степени зависит от государственной поддержки </w:t>
      </w:r>
      <w:proofErr w:type="spellStart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в настоящее время    получают   сельскохозяйственные   предприятия   района.   За 202</w:t>
      </w:r>
      <w:r w:rsidR="000934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получена поддержка на </w:t>
      </w:r>
      <w:r w:rsidR="00E5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581F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  <w:r w:rsidRPr="0058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поддержку  планируется использовать и в прогнозируемом периоде. </w:t>
      </w:r>
    </w:p>
    <w:p w:rsidR="00581F89" w:rsidRPr="00581F89" w:rsidRDefault="00581F89" w:rsidP="0058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89" w:rsidRP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1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Инвестиции</w:t>
      </w:r>
      <w:r w:rsidRPr="00581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512FE" w:rsidRDefault="007512FE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89" w:rsidRPr="00581F89" w:rsidRDefault="00370731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а  202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кругу крупных и средних </w:t>
      </w:r>
      <w:r w:rsidR="001F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202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снижение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показателя. В 202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сумме более 20 млн. рублей ежегодно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средства направляются на приобретение сельскохозяйственной техники и оборудования</w:t>
      </w:r>
      <w:r w:rsidR="002642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6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r w:rsidR="00EA1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5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на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EA14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F7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сфере,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1F75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</w:t>
      </w:r>
      <w:r w:rsidR="002642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3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отрасль ЖКХ.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объем инвестиций будет освоен </w:t>
      </w:r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предположительно за счет собственных средств предприятий, а </w:t>
      </w:r>
      <w:proofErr w:type="gramStart"/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привлеченных из разного уровня бюджетов.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F89" w:rsidRPr="00581F89" w:rsidRDefault="00581F89" w:rsidP="0058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81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81F89" w:rsidRDefault="00581F8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1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Потребительский рынок</w:t>
      </w:r>
    </w:p>
    <w:p w:rsidR="001C2219" w:rsidRPr="00581F89" w:rsidRDefault="001C2219" w:rsidP="00581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1F89" w:rsidRPr="00581F89" w:rsidRDefault="00581F89" w:rsidP="00A1759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оценке статистических данных за </w:t>
      </w:r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предшествующих два </w:t>
      </w:r>
      <w:proofErr w:type="gramStart"/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потребительская</w:t>
      </w:r>
      <w:proofErr w:type="gramEnd"/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населения растет. </w:t>
      </w:r>
      <w:r w:rsidR="0042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по крупным и средним предприятиям в </w:t>
      </w:r>
      <w:r w:rsidR="002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 </w:t>
      </w:r>
      <w:r w:rsidR="00A8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1,3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="002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202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</w:t>
      </w:r>
      <w:proofErr w:type="gramStart"/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</w:t>
      </w:r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="002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миллиарда рублей,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повышения покупательской способности населения</w:t>
      </w:r>
      <w:r w:rsidR="00E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4E3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торговой сферы</w:t>
      </w:r>
      <w:r w:rsidR="00A1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</w:t>
      </w:r>
      <w:r w:rsidR="00F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объектов розничной торговли,  внедрения прогрессивных форм обслуживания, обеспечивающих качественный уровень предоставляемых услуг торговли для жителей </w:t>
      </w:r>
      <w:r w:rsidR="00DD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F89" w:rsidRPr="00581F89" w:rsidRDefault="00A17596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 н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рост объема платных услуг населению, в том числе бытовых услуг. В прогнозируем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оказываемых платных услуг населению района  сохранит положительную динамику  и к концу 202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1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достигнет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="008175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255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предполагается увеличение платных  услуг</w:t>
      </w:r>
      <w:r w:rsidRPr="0058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в сфере</w:t>
      </w:r>
      <w:r w:rsidRPr="0058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здравоохранения, культуры, за счет расширения номенклатуры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предоставляемых услуг. 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рост услуг телевизионной связи, продолж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выхода в сеть Интернет, увеличени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F89"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бытовых  услуг. 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повышения тарифов на коммунальные услуги так же прогнозируется рост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F89" w:rsidRPr="00581F89" w:rsidRDefault="00581F89" w:rsidP="0058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F89" w:rsidRPr="00581F89" w:rsidRDefault="00581F89" w:rsidP="00581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1F89" w:rsidRPr="00DA5FAC" w:rsidRDefault="00B77F03" w:rsidP="00581F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581F89" w:rsidRPr="00DA5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Бюджет</w:t>
      </w:r>
    </w:p>
    <w:p w:rsidR="00DB73E7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доходов бюджета 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сельсовета</w:t>
      </w: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</w:t>
      </w: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77F03"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бюджета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0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на имущество физических лиц 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B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– 23%. Доля безвозмездных поступлений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доходах бюджета Михайловского сельсовета составляет 8</w:t>
      </w:r>
      <w:r w:rsidR="00DB73E7" w:rsidRP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B4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F89" w:rsidRPr="00DA5FAC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расходов, бюджет 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явную социальную направленность.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средства направляются на благоустройство территории и реализацию мероприятий в сфере культуры</w:t>
      </w:r>
      <w:r w:rsidR="0006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="00DB7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F89" w:rsidRPr="00DA5FAC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ежегодное увеличение расходов бюджета.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прогнозируемом периоде существенных изменений в структуре доходов и расходов бюджета не планируется.</w:t>
      </w:r>
      <w:r w:rsidRPr="0058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F89" w:rsidRPr="00581F89" w:rsidRDefault="00581F89" w:rsidP="0058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1F89" w:rsidRPr="00581F89" w:rsidSect="00C939F3">
      <w:pgSz w:w="11051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92C"/>
    <w:multiLevelType w:val="singleLevel"/>
    <w:tmpl w:val="B322AC4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1C7CC2"/>
    <w:multiLevelType w:val="hybridMultilevel"/>
    <w:tmpl w:val="416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4"/>
    <w:rsid w:val="0000080F"/>
    <w:rsid w:val="00011C12"/>
    <w:rsid w:val="00020520"/>
    <w:rsid w:val="00024340"/>
    <w:rsid w:val="00056DA4"/>
    <w:rsid w:val="00061378"/>
    <w:rsid w:val="00063D50"/>
    <w:rsid w:val="00063F7E"/>
    <w:rsid w:val="00066407"/>
    <w:rsid w:val="00072B93"/>
    <w:rsid w:val="00074220"/>
    <w:rsid w:val="000776E5"/>
    <w:rsid w:val="000836B5"/>
    <w:rsid w:val="00092576"/>
    <w:rsid w:val="000934C0"/>
    <w:rsid w:val="000A0120"/>
    <w:rsid w:val="000A7390"/>
    <w:rsid w:val="000F49AB"/>
    <w:rsid w:val="00110ACC"/>
    <w:rsid w:val="00112389"/>
    <w:rsid w:val="001133E4"/>
    <w:rsid w:val="00115114"/>
    <w:rsid w:val="00123217"/>
    <w:rsid w:val="0012429A"/>
    <w:rsid w:val="001354BD"/>
    <w:rsid w:val="00136E42"/>
    <w:rsid w:val="00136F5E"/>
    <w:rsid w:val="0015001A"/>
    <w:rsid w:val="00155FBD"/>
    <w:rsid w:val="00157172"/>
    <w:rsid w:val="0016181D"/>
    <w:rsid w:val="001630CE"/>
    <w:rsid w:val="001738AD"/>
    <w:rsid w:val="00175817"/>
    <w:rsid w:val="0017681F"/>
    <w:rsid w:val="00181626"/>
    <w:rsid w:val="00185118"/>
    <w:rsid w:val="00187DE5"/>
    <w:rsid w:val="00191687"/>
    <w:rsid w:val="0019315D"/>
    <w:rsid w:val="00193306"/>
    <w:rsid w:val="001933AE"/>
    <w:rsid w:val="00195BAB"/>
    <w:rsid w:val="00196539"/>
    <w:rsid w:val="001A4B5D"/>
    <w:rsid w:val="001C2219"/>
    <w:rsid w:val="001E11A6"/>
    <w:rsid w:val="001E7D41"/>
    <w:rsid w:val="001F7566"/>
    <w:rsid w:val="0020053D"/>
    <w:rsid w:val="00206F37"/>
    <w:rsid w:val="0021758A"/>
    <w:rsid w:val="00217C47"/>
    <w:rsid w:val="00221D77"/>
    <w:rsid w:val="00222C6C"/>
    <w:rsid w:val="0022689F"/>
    <w:rsid w:val="00237AA1"/>
    <w:rsid w:val="0024311F"/>
    <w:rsid w:val="0025202F"/>
    <w:rsid w:val="00261E6D"/>
    <w:rsid w:val="002642C2"/>
    <w:rsid w:val="00275AF5"/>
    <w:rsid w:val="002909C1"/>
    <w:rsid w:val="002C14D4"/>
    <w:rsid w:val="002C4E2C"/>
    <w:rsid w:val="002D5CEF"/>
    <w:rsid w:val="002E1E0A"/>
    <w:rsid w:val="002E5DE5"/>
    <w:rsid w:val="003001E7"/>
    <w:rsid w:val="00311803"/>
    <w:rsid w:val="00321726"/>
    <w:rsid w:val="00336671"/>
    <w:rsid w:val="003414A3"/>
    <w:rsid w:val="00347D67"/>
    <w:rsid w:val="00356251"/>
    <w:rsid w:val="003649BF"/>
    <w:rsid w:val="00370731"/>
    <w:rsid w:val="00373069"/>
    <w:rsid w:val="003733FD"/>
    <w:rsid w:val="0038080D"/>
    <w:rsid w:val="00380BEB"/>
    <w:rsid w:val="00384C76"/>
    <w:rsid w:val="003911CA"/>
    <w:rsid w:val="003D573F"/>
    <w:rsid w:val="003E2E94"/>
    <w:rsid w:val="003F4BDE"/>
    <w:rsid w:val="003F4C2E"/>
    <w:rsid w:val="00405166"/>
    <w:rsid w:val="00406EC6"/>
    <w:rsid w:val="004132F3"/>
    <w:rsid w:val="00413E9C"/>
    <w:rsid w:val="00415263"/>
    <w:rsid w:val="00416458"/>
    <w:rsid w:val="004213E6"/>
    <w:rsid w:val="00423749"/>
    <w:rsid w:val="00434A6D"/>
    <w:rsid w:val="0043539C"/>
    <w:rsid w:val="00435A98"/>
    <w:rsid w:val="00452C66"/>
    <w:rsid w:val="00453794"/>
    <w:rsid w:val="00460210"/>
    <w:rsid w:val="00461B2A"/>
    <w:rsid w:val="004622E6"/>
    <w:rsid w:val="004635D3"/>
    <w:rsid w:val="004874FB"/>
    <w:rsid w:val="0049030B"/>
    <w:rsid w:val="004A0A04"/>
    <w:rsid w:val="004A0F0A"/>
    <w:rsid w:val="004A20EB"/>
    <w:rsid w:val="004B094C"/>
    <w:rsid w:val="004B793D"/>
    <w:rsid w:val="004C4F64"/>
    <w:rsid w:val="004D228E"/>
    <w:rsid w:val="004E01AE"/>
    <w:rsid w:val="004F463B"/>
    <w:rsid w:val="004F6B7E"/>
    <w:rsid w:val="00505EDB"/>
    <w:rsid w:val="0050639A"/>
    <w:rsid w:val="00515115"/>
    <w:rsid w:val="005249F8"/>
    <w:rsid w:val="00527CBC"/>
    <w:rsid w:val="005532FB"/>
    <w:rsid w:val="00554724"/>
    <w:rsid w:val="005741FE"/>
    <w:rsid w:val="00575933"/>
    <w:rsid w:val="00581F89"/>
    <w:rsid w:val="005904AF"/>
    <w:rsid w:val="00592882"/>
    <w:rsid w:val="00593B8D"/>
    <w:rsid w:val="005A1A72"/>
    <w:rsid w:val="005A6667"/>
    <w:rsid w:val="005B09BA"/>
    <w:rsid w:val="005C1031"/>
    <w:rsid w:val="005D211E"/>
    <w:rsid w:val="005D29C1"/>
    <w:rsid w:val="005D6620"/>
    <w:rsid w:val="005E20AA"/>
    <w:rsid w:val="005E7BDB"/>
    <w:rsid w:val="005F1AA7"/>
    <w:rsid w:val="006011C6"/>
    <w:rsid w:val="0061710B"/>
    <w:rsid w:val="00620D6F"/>
    <w:rsid w:val="00672706"/>
    <w:rsid w:val="00673BEF"/>
    <w:rsid w:val="006A661C"/>
    <w:rsid w:val="006B2982"/>
    <w:rsid w:val="006B5B89"/>
    <w:rsid w:val="006C575F"/>
    <w:rsid w:val="006D1A07"/>
    <w:rsid w:val="006E120B"/>
    <w:rsid w:val="006F410B"/>
    <w:rsid w:val="007125DE"/>
    <w:rsid w:val="00713E1A"/>
    <w:rsid w:val="00731F67"/>
    <w:rsid w:val="00732CC8"/>
    <w:rsid w:val="00733727"/>
    <w:rsid w:val="007416E9"/>
    <w:rsid w:val="00741B66"/>
    <w:rsid w:val="00743E43"/>
    <w:rsid w:val="00746F5D"/>
    <w:rsid w:val="007476AF"/>
    <w:rsid w:val="007512FE"/>
    <w:rsid w:val="00766678"/>
    <w:rsid w:val="00772989"/>
    <w:rsid w:val="007750A8"/>
    <w:rsid w:val="00775CA2"/>
    <w:rsid w:val="007844D0"/>
    <w:rsid w:val="00787A88"/>
    <w:rsid w:val="007A5543"/>
    <w:rsid w:val="007B289E"/>
    <w:rsid w:val="007B5A30"/>
    <w:rsid w:val="007C5D88"/>
    <w:rsid w:val="007C6E29"/>
    <w:rsid w:val="007D78C3"/>
    <w:rsid w:val="007E1C68"/>
    <w:rsid w:val="007E5DA2"/>
    <w:rsid w:val="007E7C23"/>
    <w:rsid w:val="007F0D85"/>
    <w:rsid w:val="00804FDA"/>
    <w:rsid w:val="00810947"/>
    <w:rsid w:val="0081491C"/>
    <w:rsid w:val="008175C1"/>
    <w:rsid w:val="00826612"/>
    <w:rsid w:val="00826FED"/>
    <w:rsid w:val="00831953"/>
    <w:rsid w:val="00831D29"/>
    <w:rsid w:val="008362E0"/>
    <w:rsid w:val="00837E51"/>
    <w:rsid w:val="00840530"/>
    <w:rsid w:val="008528E5"/>
    <w:rsid w:val="00856F8C"/>
    <w:rsid w:val="0087024E"/>
    <w:rsid w:val="008728B1"/>
    <w:rsid w:val="008819ED"/>
    <w:rsid w:val="00887678"/>
    <w:rsid w:val="00893457"/>
    <w:rsid w:val="008974CB"/>
    <w:rsid w:val="008A00BC"/>
    <w:rsid w:val="008A5B16"/>
    <w:rsid w:val="008B0744"/>
    <w:rsid w:val="008B2A56"/>
    <w:rsid w:val="008B40CC"/>
    <w:rsid w:val="008B4CC7"/>
    <w:rsid w:val="008C2A23"/>
    <w:rsid w:val="008C7FAB"/>
    <w:rsid w:val="008E70EF"/>
    <w:rsid w:val="008E73C2"/>
    <w:rsid w:val="0090395C"/>
    <w:rsid w:val="00904541"/>
    <w:rsid w:val="00910145"/>
    <w:rsid w:val="00910982"/>
    <w:rsid w:val="00914928"/>
    <w:rsid w:val="00915C15"/>
    <w:rsid w:val="009226D4"/>
    <w:rsid w:val="00925AED"/>
    <w:rsid w:val="00925EE8"/>
    <w:rsid w:val="00927F27"/>
    <w:rsid w:val="009459DD"/>
    <w:rsid w:val="00977C39"/>
    <w:rsid w:val="00985124"/>
    <w:rsid w:val="00996553"/>
    <w:rsid w:val="009A1387"/>
    <w:rsid w:val="009A44E4"/>
    <w:rsid w:val="009A6944"/>
    <w:rsid w:val="009C16DD"/>
    <w:rsid w:val="009C5686"/>
    <w:rsid w:val="009D5DC7"/>
    <w:rsid w:val="009E1165"/>
    <w:rsid w:val="009E1C66"/>
    <w:rsid w:val="009E54A1"/>
    <w:rsid w:val="009E6C40"/>
    <w:rsid w:val="00A17596"/>
    <w:rsid w:val="00A210A5"/>
    <w:rsid w:val="00A37A92"/>
    <w:rsid w:val="00A42278"/>
    <w:rsid w:val="00A57FD4"/>
    <w:rsid w:val="00A82B37"/>
    <w:rsid w:val="00A85CB6"/>
    <w:rsid w:val="00A91B0D"/>
    <w:rsid w:val="00A91F93"/>
    <w:rsid w:val="00A92873"/>
    <w:rsid w:val="00A94D13"/>
    <w:rsid w:val="00A95B32"/>
    <w:rsid w:val="00AE0F23"/>
    <w:rsid w:val="00AE47B4"/>
    <w:rsid w:val="00AE5E98"/>
    <w:rsid w:val="00B07E2C"/>
    <w:rsid w:val="00B10223"/>
    <w:rsid w:val="00B1603C"/>
    <w:rsid w:val="00B21B5F"/>
    <w:rsid w:val="00B27166"/>
    <w:rsid w:val="00B35710"/>
    <w:rsid w:val="00B372FF"/>
    <w:rsid w:val="00B4037E"/>
    <w:rsid w:val="00B445E9"/>
    <w:rsid w:val="00B46D0C"/>
    <w:rsid w:val="00B74816"/>
    <w:rsid w:val="00B751FA"/>
    <w:rsid w:val="00B758E2"/>
    <w:rsid w:val="00B77F03"/>
    <w:rsid w:val="00B90142"/>
    <w:rsid w:val="00BA0A51"/>
    <w:rsid w:val="00BA76AE"/>
    <w:rsid w:val="00BB1BCC"/>
    <w:rsid w:val="00BB54AF"/>
    <w:rsid w:val="00BC133A"/>
    <w:rsid w:val="00BC36CA"/>
    <w:rsid w:val="00BE4112"/>
    <w:rsid w:val="00BF0303"/>
    <w:rsid w:val="00BF06E6"/>
    <w:rsid w:val="00BF4836"/>
    <w:rsid w:val="00C07B46"/>
    <w:rsid w:val="00C17CC4"/>
    <w:rsid w:val="00C22A6F"/>
    <w:rsid w:val="00C27690"/>
    <w:rsid w:val="00C51E85"/>
    <w:rsid w:val="00C53318"/>
    <w:rsid w:val="00C5355F"/>
    <w:rsid w:val="00C54EA5"/>
    <w:rsid w:val="00C57285"/>
    <w:rsid w:val="00C67D08"/>
    <w:rsid w:val="00C73316"/>
    <w:rsid w:val="00C84226"/>
    <w:rsid w:val="00C87320"/>
    <w:rsid w:val="00C91545"/>
    <w:rsid w:val="00C939F3"/>
    <w:rsid w:val="00C9494F"/>
    <w:rsid w:val="00C97C91"/>
    <w:rsid w:val="00CA10F8"/>
    <w:rsid w:val="00CA263A"/>
    <w:rsid w:val="00CA39B7"/>
    <w:rsid w:val="00CB1C5C"/>
    <w:rsid w:val="00CC347E"/>
    <w:rsid w:val="00CC72B3"/>
    <w:rsid w:val="00CE50B0"/>
    <w:rsid w:val="00CE5636"/>
    <w:rsid w:val="00CF0FF9"/>
    <w:rsid w:val="00D0021B"/>
    <w:rsid w:val="00D068E8"/>
    <w:rsid w:val="00D13D86"/>
    <w:rsid w:val="00D15E3F"/>
    <w:rsid w:val="00D27372"/>
    <w:rsid w:val="00D276C8"/>
    <w:rsid w:val="00D27DA2"/>
    <w:rsid w:val="00D31022"/>
    <w:rsid w:val="00D32F23"/>
    <w:rsid w:val="00D358EA"/>
    <w:rsid w:val="00D45D51"/>
    <w:rsid w:val="00D5152C"/>
    <w:rsid w:val="00D6015F"/>
    <w:rsid w:val="00D9403F"/>
    <w:rsid w:val="00DA3220"/>
    <w:rsid w:val="00DA5FAC"/>
    <w:rsid w:val="00DB73E7"/>
    <w:rsid w:val="00DC63E9"/>
    <w:rsid w:val="00DD57F5"/>
    <w:rsid w:val="00DD7F9F"/>
    <w:rsid w:val="00DE088B"/>
    <w:rsid w:val="00DE64B1"/>
    <w:rsid w:val="00DF1951"/>
    <w:rsid w:val="00DF35C1"/>
    <w:rsid w:val="00E121A3"/>
    <w:rsid w:val="00E25B5A"/>
    <w:rsid w:val="00E27E7B"/>
    <w:rsid w:val="00E3279F"/>
    <w:rsid w:val="00E41773"/>
    <w:rsid w:val="00E4477C"/>
    <w:rsid w:val="00E51B52"/>
    <w:rsid w:val="00E63BAA"/>
    <w:rsid w:val="00E65CE1"/>
    <w:rsid w:val="00E6693D"/>
    <w:rsid w:val="00E67698"/>
    <w:rsid w:val="00EA149F"/>
    <w:rsid w:val="00EA182B"/>
    <w:rsid w:val="00EA6E43"/>
    <w:rsid w:val="00EC15FA"/>
    <w:rsid w:val="00EC581C"/>
    <w:rsid w:val="00ED0E76"/>
    <w:rsid w:val="00ED3D1C"/>
    <w:rsid w:val="00EE655F"/>
    <w:rsid w:val="00EF4B5D"/>
    <w:rsid w:val="00EF6A92"/>
    <w:rsid w:val="00F01838"/>
    <w:rsid w:val="00F04E82"/>
    <w:rsid w:val="00F102C5"/>
    <w:rsid w:val="00F221B2"/>
    <w:rsid w:val="00F25BB0"/>
    <w:rsid w:val="00F337DF"/>
    <w:rsid w:val="00F373A9"/>
    <w:rsid w:val="00F4442C"/>
    <w:rsid w:val="00F5040B"/>
    <w:rsid w:val="00F52C62"/>
    <w:rsid w:val="00F54831"/>
    <w:rsid w:val="00F625D3"/>
    <w:rsid w:val="00F739A6"/>
    <w:rsid w:val="00F82B20"/>
    <w:rsid w:val="00F85AF7"/>
    <w:rsid w:val="00F91122"/>
    <w:rsid w:val="00FB091F"/>
    <w:rsid w:val="00FB71A3"/>
    <w:rsid w:val="00FC040E"/>
    <w:rsid w:val="00FC1DCE"/>
    <w:rsid w:val="00FC4ECF"/>
    <w:rsid w:val="00FD3A3F"/>
    <w:rsid w:val="00FE1095"/>
    <w:rsid w:val="00FE35CE"/>
    <w:rsid w:val="00FE36CD"/>
    <w:rsid w:val="00FF1B23"/>
    <w:rsid w:val="00FF2766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1027"/>
  <w15:docId w15:val="{A093F820-DDB4-478B-8D30-19E55E8C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3794"/>
    <w:rPr>
      <w:color w:val="0000FF"/>
      <w:u w:val="single"/>
    </w:rPr>
  </w:style>
  <w:style w:type="paragraph" w:customStyle="1" w:styleId="Style1">
    <w:name w:val="Style1"/>
    <w:basedOn w:val="a"/>
    <w:rsid w:val="00453794"/>
    <w:pPr>
      <w:widowControl w:val="0"/>
      <w:autoSpaceDE w:val="0"/>
      <w:autoSpaceDN w:val="0"/>
      <w:adjustRightInd w:val="0"/>
      <w:spacing w:after="0" w:line="322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3794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5379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5379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453794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No Spacing"/>
    <w:uiPriority w:val="1"/>
    <w:qFormat/>
    <w:rsid w:val="00453794"/>
    <w:pPr>
      <w:spacing w:after="0" w:line="240" w:lineRule="auto"/>
    </w:pPr>
  </w:style>
  <w:style w:type="paragraph" w:customStyle="1" w:styleId="Style5">
    <w:name w:val="Style5"/>
    <w:basedOn w:val="a"/>
    <w:rsid w:val="00011C1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5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5D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5776-E352-4C26-A1DC-926C7926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8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Tolochkina</dc:creator>
  <cp:lastModifiedBy>Карина</cp:lastModifiedBy>
  <cp:revision>161</cp:revision>
  <cp:lastPrinted>2024-10-31T02:17:00Z</cp:lastPrinted>
  <dcterms:created xsi:type="dcterms:W3CDTF">2021-11-12T04:21:00Z</dcterms:created>
  <dcterms:modified xsi:type="dcterms:W3CDTF">2024-11-02T07:46:00Z</dcterms:modified>
</cp:coreProperties>
</file>